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Hướng dẫn điền 3 mẫu PC02, PC04, PC06</w:t>
      </w:r>
    </w:p>
    <w:p>
      <w:pPr>
        <w:jc w:val="center"/>
      </w:pPr>
      <w:r>
        <w:rPr>
          <w:i/>
          <w:color w:val="555555"/>
          <w:sz w:val="22"/>
        </w:rPr>
        <w:t>Biên bản tự kiểm tra PCCC · Báo cáo kết quả thực hiện công tác PCCC, CNCH · Phương án chữa cháy, cứu nạn, cứu hộ</w:t>
      </w:r>
    </w:p>
    <w:p>
      <w:pPr>
        <w:jc w:val="center"/>
      </w:pPr>
      <w:r>
        <w:rPr>
          <w:color w:val="888888"/>
          <w:sz w:val="19"/>
        </w:rPr>
        <w:t>Tài liệu chi tiết đính kèm bài viết "Hồ sơ quản lý PCCC tại cơ sở" trên pccc.vn</w:t>
      </w:r>
    </w:p>
    <w:p/>
    <w:p>
      <w:pPr>
        <w:spacing w:after="240"/>
      </w:pPr>
      <w:r>
        <w:rPr>
          <w:b w:val="0"/>
          <w:i w:val="0"/>
        </w:rPr>
        <w:t xml:space="preserve">Trong 14 loại tài liệu của hồ sơ quản lý PCCC, có </w:t>
      </w:r>
      <w:r>
        <w:rPr>
          <w:b/>
          <w:i w:val="0"/>
        </w:rPr>
        <w:t>ba mẫu sinh ra đều đặn và bị soi kỹ nhất</w:t>
      </w:r>
      <w:r>
        <w:rPr>
          <w:b w:val="0"/>
          <w:i w:val="0"/>
        </w:rPr>
        <w:t>. Nắm được ba mẫu này là nắm được phần lớn công việc hồ sơ hằng năm.</w:t>
      </w:r>
    </w:p>
    <w:p>
      <w:pPr>
        <w:pStyle w:val="Heading1"/>
      </w:pPr>
      <w:r>
        <w:t>1. Mẫu PC02 — Biên bản tự kiểm tra về PCCC</w:t>
      </w:r>
    </w:p>
    <w:tbl>
      <w:tblPr>
        <w:tblW w:type="auto" w:w="0"/>
        <w:jc w:val="center"/>
        <w:tblLayout w:type="autofit"/>
        <w:tblLook w:firstColumn="1" w:firstRow="1" w:lastColumn="0" w:lastRow="0" w:noHBand="0" w:noVBand="1" w:val="04A0"/>
      </w:tblPr>
      <w:tblGrid>
        <w:gridCol w:w="4320"/>
        <w:gridCol w:w="4320"/>
      </w:tblGrid>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Dùng khi nào</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 xml:space="preserve">Kết thúc mỗi lần </w:t>
            </w:r>
            <w:r>
              <w:rPr>
                <w:b/>
                <w:i w:val="0"/>
                <w:sz w:val="22"/>
              </w:rPr>
              <w:t>tự kiểm tra định kỳ</w:t>
            </w:r>
            <w:r>
              <w:rPr>
                <w:b w:val="0"/>
                <w:i w:val="0"/>
                <w:sz w:val="22"/>
              </w:rPr>
              <w:t>: cơ sở Phụ lục II 6 tháng/lần, cơ sở còn lại thuộc Phụ lục I 1 năm/lần. Kiểm tra thường xuyên giữa hai kỳ dùng biên bản hoặc phiếu cơ sở tự đặt, không bắt buộc dùng PC02</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Ai ký</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Người kiểm tra ký — chủ cơ sở, hoặc người đã được phân công bằng văn bản và đã qua tập huấn nghiệp vụ</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Nộp cho ai</w:t>
            </w:r>
          </w:p>
        </w:tc>
        <w:tc>
          <w:tcPr>
            <w:tcW w:type="dxa" w:w="4320"/>
            <w:tcBorders>
              <w:top w:val="single" w:sz="4" w:space="0" w:color="CCD6DE"/>
              <w:left w:val="single" w:sz="4" w:space="0" w:color="CCD6DE"/>
              <w:bottom w:val="single" w:sz="4" w:space="0" w:color="CCD6DE"/>
              <w:right w:val="single" w:sz="4" w:space="0" w:color="CCD6DE"/>
            </w:tcBorders>
          </w:tcPr>
          <w:p>
            <w:r>
              <w:rPr>
                <w:b/>
                <w:i w:val="0"/>
                <w:sz w:val="22"/>
              </w:rPr>
              <w:t>Không nộp cho ai — lưu trong hồ sơ của cơ sở.</w:t>
            </w:r>
            <w:r>
              <w:rPr>
                <w:b w:val="0"/>
                <w:i w:val="0"/>
                <w:sz w:val="22"/>
              </w:rPr>
              <w:t xml:space="preserve"> Kết quả được tổng hợp vào báo cáo PC04 để gửi lên</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Giữ bao lâu</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Tối thiểu 05 năm kể từ năm lập</w:t>
            </w:r>
          </w:p>
        </w:tc>
      </w:tr>
    </w:tbl>
    <w:p>
      <w:pPr>
        <w:spacing w:after="40"/>
      </w:pPr>
    </w:p>
    <w:p>
      <w:pPr>
        <w:spacing w:after="160"/>
      </w:pPr>
      <w:r>
        <w:rPr>
          <w:b/>
          <w:i w:val="0"/>
          <w:sz w:val="22"/>
        </w:rPr>
        <w:t>Biên bản có ba phần: người kiểm tra là ai, kết quả kiểm tra, và kiến nghị.</w:t>
      </w:r>
      <w:r>
        <w:rPr>
          <w:b w:val="0"/>
          <w:i w:val="0"/>
          <w:sz w:val="22"/>
        </w:rPr>
        <w:t xml:space="preserve"> Phần kết quả là phần dài nhất và cũng hay bị viết qua loa. Theo hướng dẫn của chính mẫu PC02, phần này phải ghi hiện trạng theo các đầu mục sau:</w:t>
      </w:r>
    </w:p>
    <w:tbl>
      <w:tblPr>
        <w:tblW w:type="auto" w:w="0"/>
        <w:jc w:val="center"/>
        <w:tblLook w:firstColumn="1" w:firstRow="1" w:lastColumn="0" w:lastRow="0" w:noHBand="0" w:noVBand="1" w:val="04A0"/>
      </w:tblPr>
      <w:tblGrid>
        <w:gridCol w:w="4320"/>
        <w:gridCol w:w="4320"/>
      </w:tblGrid>
      <w:tr>
        <w:tc>
          <w:tcPr>
            <w:tcW w:type="dxa" w:w="4320"/>
            <w:shd w:val="clear" w:color="auto" w:fill="EEF3F7"/>
            <w:tcBorders>
              <w:top w:val="single" w:sz="4" w:space="0" w:color="CCD6DE"/>
              <w:left w:val="single" w:sz="4" w:space="0" w:color="CCD6DE"/>
              <w:bottom w:val="single" w:sz="4" w:space="0" w:color="CCD6DE"/>
              <w:right w:val="single" w:sz="4" w:space="0" w:color="CCD6DE"/>
            </w:tcBorders>
          </w:tcPr>
          <w:p>
            <w:r>
              <w:rPr>
                <w:b/>
                <w:sz w:val="21"/>
              </w:rPr>
              <w:t>Đầu mục phải ghi</w:t>
            </w:r>
          </w:p>
        </w:tc>
        <w:tc>
          <w:tcPr>
            <w:tcW w:type="dxa" w:w="4320"/>
            <w:shd w:val="clear" w:color="auto" w:fill="EEF3F7"/>
            <w:tcBorders>
              <w:top w:val="single" w:sz="4" w:space="0" w:color="CCD6DE"/>
              <w:left w:val="single" w:sz="4" w:space="0" w:color="CCD6DE"/>
              <w:bottom w:val="single" w:sz="4" w:space="0" w:color="CCD6DE"/>
              <w:right w:val="single" w:sz="4" w:space="0" w:color="CCD6DE"/>
            </w:tcBorders>
          </w:tcPr>
          <w:p>
            <w:r>
              <w:rPr>
                <w:b/>
                <w:sz w:val="21"/>
              </w:rPr>
              <w:t>Ghi cái gì cho cụ thể</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 xml:space="preserve">Việc </w:t>
            </w:r>
            <w:r>
              <w:rPr>
                <w:b/>
                <w:i w:val="0"/>
                <w:sz w:val="21"/>
              </w:rPr>
              <w:t>trang bị</w:t>
            </w:r>
            <w:r>
              <w:rPr>
                <w:b w:val="0"/>
                <w:i w:val="0"/>
                <w:sz w:val="21"/>
              </w:rPr>
              <w:t xml:space="preserve"> phương tiện, hệ thống PCCC, hệ thống điện phục vụ PCCC, nguồn nước chữa cháy</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Chủng loại, số lượng, vị trí. Chỉ cần ghi kỹ ở lần đầu, hoặc khi có thay thế, bổ sung</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 xml:space="preserve">Việc </w:t>
            </w:r>
            <w:r>
              <w:rPr>
                <w:b/>
                <w:i w:val="0"/>
                <w:sz w:val="21"/>
              </w:rPr>
              <w:t>duy trì hoạt động</w:t>
            </w:r>
            <w:r>
              <w:rPr>
                <w:b w:val="0"/>
                <w:i w:val="0"/>
                <w:sz w:val="21"/>
              </w:rPr>
              <w:t xml:space="preserve"> của những thứ đã trang bị</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Phần quan trọng nhất: bình chữa cháy còn đủ và đạt yêu cầu kỹ thuật không; thiết bị thuộc hệ thống báo cháy, chữa cháy còn chạy không; hệ thống điện phục vụ PCCC ra sao; nguồn nước còn đủ trữ lượng và lấy nước được không</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Thiết bị truyền tin báo cháy và việc khai báo, cập nhật dữ liệu</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Đã trang bị chưa, kết nối còn duy trì không, đã khai báo hoặc cập nhật khi thay đổi chưa</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An toàn khi dùng nguồn lửa, nguồn nhiệt, chất dễ cháy nổ</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Bếp, khu hàn cắt, kho hóa chất, chỗ sạc xe điện, chỗ thắp hương</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Khoảng cách PCCC; đường, bãi đỗ, khoảng trống phục vụ chữa cháy</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Xe chữa cháy còn vào được không; sân trước có bị chiếm dụng để hàng, để xe không</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Giải pháp thoát nạn, ngăn cháy, chống cháy lan, chống khói</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Lối thoát nạn có thông không; cửa ngăn cháy có đóng được không; chỗ khoan tường luồn dây có được bịt lại không</w:t>
            </w:r>
          </w:p>
        </w:tc>
      </w:tr>
      <w:tr>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Việc chấp hành nội quy; việc duy trì biển cấm, biển báo, biển chỉ dẫn</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Hỏi thử vài người xem họ biết làm gì khi cháy; xem biển còn đủ, đúng chỗ, đọc được không</w:t>
            </w:r>
          </w:p>
        </w:tc>
      </w:tr>
      <w:tr>
        <w:tc>
          <w:tcPr>
            <w:tcW w:type="dxa" w:w="4320"/>
            <w:tcBorders>
              <w:top w:val="single" w:sz="4" w:space="0" w:color="CCD6DE"/>
              <w:left w:val="single" w:sz="4" w:space="0" w:color="CCD6DE"/>
              <w:bottom w:val="single" w:sz="4" w:space="0" w:color="CCD6DE"/>
              <w:right w:val="single" w:sz="4" w:space="0" w:color="CCD6DE"/>
            </w:tcBorders>
          </w:tcPr>
          <w:p>
            <w:r>
              <w:rPr>
                <w:b/>
                <w:i w:val="0"/>
                <w:sz w:val="21"/>
              </w:rPr>
              <w:t>Việc khắc phục tồn tại của lần trước</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1"/>
              </w:rPr>
              <w:t>Mở biên bản kỳ trước ra, gạch từng dòng: đã sửa, chưa sửa, sửa một phần</w:t>
            </w:r>
          </w:p>
        </w:tc>
      </w:tr>
    </w:tbl>
    <w:p>
      <w:pPr>
        <w:spacing w:after="40"/>
      </w:pPr>
    </w:p>
    <w:p>
      <w:pPr>
        <w:spacing w:after="160"/>
      </w:pPr>
      <w:r>
        <w:rPr>
          <w:b/>
          <w:i w:val="0"/>
          <w:sz w:val="22"/>
        </w:rPr>
        <w:t>Phần kiến nghị</w:t>
      </w:r>
      <w:r>
        <w:rPr>
          <w:b w:val="0"/>
          <w:i w:val="0"/>
          <w:sz w:val="22"/>
        </w:rPr>
        <w:t xml:space="preserve"> phải ghi </w:t>
      </w:r>
      <w:r>
        <w:rPr>
          <w:b w:val="0"/>
          <w:i/>
          <w:sz w:val="22"/>
        </w:rPr>
        <w:t>thời hạn khắc phục cụ thể</w:t>
      </w:r>
      <w:r>
        <w:rPr>
          <w:b w:val="0"/>
          <w:i w:val="0"/>
          <w:sz w:val="22"/>
        </w:rPr>
        <w:t xml:space="preserve"> cho từng tồn tại — không viết chung chung "sẽ khắc phục trong thời gian tới". Ghi ngày tháng rõ ràng, rồi làm đúng ngày đó.</w:t>
      </w:r>
    </w:p>
    <w:p>
      <w:pPr>
        <w:spacing w:after="320"/>
      </w:pPr>
      <w:r>
        <w:rPr>
          <w:b/>
          <w:i w:val="0"/>
          <w:sz w:val="22"/>
        </w:rPr>
        <w:t>Ba sai sót hay gặp với PC02:</w:t>
      </w:r>
      <w:r>
        <w:rPr>
          <w:b w:val="0"/>
          <w:i w:val="0"/>
          <w:sz w:val="22"/>
        </w:rPr>
        <w:t xml:space="preserve"> kỳ nào cũng ghi "bảo đảm theo quy định" cho mọi mục; người ký không phải người ghi trong văn bản phân công; và ngày lập các biên bản dồn cục cách nhau vài ngày — làm bù thì không còn là tự kiểm tra nữa.</w:t>
      </w:r>
    </w:p>
    <w:p>
      <w:pPr>
        <w:pStyle w:val="Heading1"/>
      </w:pPr>
      <w:r>
        <w:t>2. Mẫu PC04 — Báo cáo kết quả thực hiện công tác PCCC, CNCH</w:t>
      </w:r>
    </w:p>
    <w:tbl>
      <w:tblPr>
        <w:tblW w:type="auto" w:w="0"/>
        <w:jc w:val="center"/>
        <w:tblLayout w:type="autofit"/>
        <w:tblLook w:firstColumn="1" w:firstRow="1" w:lastColumn="0" w:lastRow="0" w:noHBand="0" w:noVBand="1" w:val="04A0"/>
      </w:tblPr>
      <w:tblGrid>
        <w:gridCol w:w="4320"/>
        <w:gridCol w:w="4320"/>
      </w:tblGrid>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Dùng khi nào</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Kết thúc mỗi kỳ báo cáo. Cơ sở thuộc Phụ lục II: 6 tháng một lần. Cơ sở còn lại thuộc Phụ lục I: một năm một lần</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Ai ký</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Đại diện cơ sở ký, ghi rõ họ tên, đóng dấu</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Nộp cho ai</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 xml:space="preserve">Cơ sở Phụ lục II: Phòng Cảnh sát PCCC và CNCH hoặc cơ quan chuyên môn về xây dựng trực tiếp quản lý. Cơ sở còn lại thuộc Phụ lục I: </w:t>
            </w:r>
            <w:r>
              <w:rPr>
                <w:b/>
                <w:i w:val="0"/>
                <w:sz w:val="22"/>
              </w:rPr>
              <w:t>UBND cấp xã</w:t>
            </w:r>
            <w:r>
              <w:rPr>
                <w:b w:val="0"/>
                <w:i w:val="0"/>
                <w:sz w:val="22"/>
              </w:rPr>
              <w:t xml:space="preserve">. Hoặc thay bằng </w:t>
            </w:r>
            <w:r>
              <w:rPr>
                <w:b/>
                <w:i w:val="0"/>
                <w:sz w:val="22"/>
              </w:rPr>
              <w:t>cập nhật lên hệ thống Cơ sở dữ liệu</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Hạn nào</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 xml:space="preserve">Cơ sở Phụ lục II: </w:t>
            </w:r>
            <w:r>
              <w:rPr>
                <w:b/>
                <w:i w:val="0"/>
                <w:sz w:val="22"/>
              </w:rPr>
              <w:t>trước 15/6 và trước 15/12</w:t>
            </w:r>
            <w:r>
              <w:rPr>
                <w:b w:val="0"/>
                <w:i w:val="0"/>
                <w:sz w:val="22"/>
              </w:rPr>
              <w:t xml:space="preserve">. Cơ sở còn lại thuộc Phụ lục I: </w:t>
            </w:r>
            <w:r>
              <w:rPr>
                <w:b/>
                <w:i w:val="0"/>
                <w:sz w:val="22"/>
              </w:rPr>
              <w:t>trước 15/12</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Giữ bao lâu</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Tối thiểu 05 năm kể từ năm lập</w:t>
            </w:r>
          </w:p>
        </w:tc>
      </w:tr>
    </w:tbl>
    <w:p>
      <w:pPr>
        <w:spacing w:after="40"/>
      </w:pPr>
    </w:p>
    <w:p>
      <w:pPr>
        <w:spacing w:after="160"/>
      </w:pPr>
      <w:r>
        <w:rPr>
          <w:b/>
          <w:i w:val="0"/>
          <w:sz w:val="22"/>
        </w:rPr>
        <w:t>Báo cáo phải có đủ 5 nội dung.</w:t>
      </w:r>
      <w:r>
        <w:rPr>
          <w:b w:val="0"/>
          <w:i w:val="0"/>
          <w:sz w:val="22"/>
        </w:rPr>
        <w:t xml:space="preserve"> Thiếu một nội dung là báo cáo không đạt, và trong nhiều trường hợp bị coi như hồ sơ thiếu tài liệu:</w:t>
      </w:r>
    </w:p>
    <w:tbl>
      <w:tblPr>
        <w:tblW w:type="auto" w:w="0"/>
        <w:jc w:val="center"/>
        <w:tblLook w:firstColumn="1" w:firstRow="1" w:lastColumn="0" w:lastRow="0" w:noHBand="0" w:noVBand="1" w:val="04A0"/>
      </w:tblPr>
      <w:tblGrid>
        <w:gridCol w:w="2880"/>
        <w:gridCol w:w="2880"/>
        <w:gridCol w:w="2880"/>
      </w:tblGrid>
      <w:tr>
        <w:tc>
          <w:tcPr>
            <w:tcW w:type="dxa" w:w="2880"/>
            <w:shd w:val="clear" w:color="auto" w:fill="EEF3F7"/>
            <w:tcBorders>
              <w:top w:val="single" w:sz="4" w:space="0" w:color="CCD6DE"/>
              <w:left w:val="single" w:sz="4" w:space="0" w:color="CCD6DE"/>
              <w:bottom w:val="single" w:sz="4" w:space="0" w:color="CCD6DE"/>
              <w:right w:val="single" w:sz="4" w:space="0" w:color="CCD6DE"/>
            </w:tcBorders>
          </w:tcPr>
          <w:p>
            <w:r>
              <w:rPr>
                <w:b/>
                <w:sz w:val="21"/>
              </w:rPr>
              <w:t>#</w:t>
            </w:r>
          </w:p>
        </w:tc>
        <w:tc>
          <w:tcPr>
            <w:tcW w:type="dxa" w:w="2880"/>
            <w:shd w:val="clear" w:color="auto" w:fill="EEF3F7"/>
            <w:tcBorders>
              <w:top w:val="single" w:sz="4" w:space="0" w:color="CCD6DE"/>
              <w:left w:val="single" w:sz="4" w:space="0" w:color="CCD6DE"/>
              <w:bottom w:val="single" w:sz="4" w:space="0" w:color="CCD6DE"/>
              <w:right w:val="single" w:sz="4" w:space="0" w:color="CCD6DE"/>
            </w:tcBorders>
          </w:tcPr>
          <w:p>
            <w:r>
              <w:rPr>
                <w:b/>
                <w:sz w:val="21"/>
              </w:rPr>
              <w:t>Nội dung bắt buộc</w:t>
            </w:r>
          </w:p>
        </w:tc>
        <w:tc>
          <w:tcPr>
            <w:tcW w:type="dxa" w:w="2880"/>
            <w:shd w:val="clear" w:color="auto" w:fill="EEF3F7"/>
            <w:tcBorders>
              <w:top w:val="single" w:sz="4" w:space="0" w:color="CCD6DE"/>
              <w:left w:val="single" w:sz="4" w:space="0" w:color="CCD6DE"/>
              <w:bottom w:val="single" w:sz="4" w:space="0" w:color="CCD6DE"/>
              <w:right w:val="single" w:sz="4" w:space="0" w:color="CCD6DE"/>
            </w:tcBorders>
          </w:tcPr>
          <w:p>
            <w:r>
              <w:rPr>
                <w:b/>
                <w:sz w:val="21"/>
              </w:rPr>
              <w:t>Viết thế nào cho đủ</w:t>
            </w:r>
          </w:p>
        </w:tc>
      </w:tr>
      <w:tr>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1</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 xml:space="preserve">Việc thực hiện </w:t>
            </w:r>
            <w:r>
              <w:rPr>
                <w:b/>
                <w:i w:val="0"/>
                <w:sz w:val="21"/>
              </w:rPr>
              <w:t>trách nhiệm về PCCC, CNCH của người đứng đầu cơ sở</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Đã ban hành nội quy nào, phân công ai, huấn luyện và bồi dưỡng bao nhiêu người, cập nhật phương án ra sao</w:t>
            </w:r>
          </w:p>
        </w:tc>
      </w:tr>
      <w:tr>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2</w:t>
            </w:r>
          </w:p>
        </w:tc>
        <w:tc>
          <w:tcPr>
            <w:tcW w:type="dxa" w:w="2880"/>
            <w:tcBorders>
              <w:top w:val="single" w:sz="4" w:space="0" w:color="CCD6DE"/>
              <w:left w:val="single" w:sz="4" w:space="0" w:color="CCD6DE"/>
              <w:bottom w:val="single" w:sz="4" w:space="0" w:color="CCD6DE"/>
              <w:right w:val="single" w:sz="4" w:space="0" w:color="CCD6DE"/>
            </w:tcBorders>
          </w:tcPr>
          <w:p>
            <w:r>
              <w:rPr>
                <w:b/>
                <w:i w:val="0"/>
                <w:sz w:val="21"/>
              </w:rPr>
              <w:t>Nội dung và kết quả tự kiểm tra định kỳ</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Tóm tắt từ các biên bản PC02 trong kỳ: kiểm mấy lần, bao nhiêu tồn tại, đã xử lý bao nhiêu</w:t>
            </w:r>
          </w:p>
        </w:tc>
      </w:tr>
      <w:tr>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3</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 xml:space="preserve">Việc </w:t>
            </w:r>
            <w:r>
              <w:rPr>
                <w:b/>
                <w:i w:val="0"/>
                <w:sz w:val="21"/>
              </w:rPr>
              <w:t>bảo quản, bảo dưỡng phương tiện</w:t>
            </w:r>
            <w:r>
              <w:rPr>
                <w:b w:val="0"/>
                <w:i w:val="0"/>
                <w:sz w:val="21"/>
              </w:rPr>
              <w:t xml:space="preserve"> PCCC, CNCH</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Số lượng, chủng loại, nội dung đã bảo dưỡng — lấy từ sổ theo dõi phương tiện</w:t>
            </w:r>
          </w:p>
        </w:tc>
      </w:tr>
      <w:tr>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4</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 xml:space="preserve">Việc </w:t>
            </w:r>
            <w:r>
              <w:rPr>
                <w:b/>
                <w:i w:val="0"/>
                <w:sz w:val="21"/>
              </w:rPr>
              <w:t>mua bảo hiểm cháy nổ bắt buộc</w:t>
            </w:r>
            <w:r>
              <w:rPr>
                <w:b w:val="0"/>
                <w:i w:val="0"/>
                <w:sz w:val="21"/>
              </w:rPr>
              <w:t>, nếu cơ sở thuộc diện phải mua</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Ghi số hợp đồng và thời hạn. Không thuộc diện phải mua thì ghi rõ, đừng bỏ trống</w:t>
            </w:r>
          </w:p>
        </w:tc>
      </w:tr>
      <w:tr>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5</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 xml:space="preserve">Các </w:t>
            </w:r>
            <w:r>
              <w:rPr>
                <w:b/>
                <w:i w:val="0"/>
                <w:sz w:val="21"/>
              </w:rPr>
              <w:t>sơ hở, thiếu sót, vi phạm</w:t>
            </w:r>
            <w:r>
              <w:rPr>
                <w:b w:val="0"/>
                <w:i w:val="0"/>
                <w:sz w:val="21"/>
              </w:rPr>
              <w:t xml:space="preserve"> phát hiện được, </w:t>
            </w:r>
            <w:r>
              <w:rPr>
                <w:b/>
                <w:i w:val="0"/>
                <w:sz w:val="21"/>
              </w:rPr>
              <w:t>kèm cam kết thời hạn khắc phục</w:t>
            </w:r>
          </w:p>
        </w:tc>
        <w:tc>
          <w:tcPr>
            <w:tcW w:type="dxa" w:w="2880"/>
            <w:tcBorders>
              <w:top w:val="single" w:sz="4" w:space="0" w:color="CCD6DE"/>
              <w:left w:val="single" w:sz="4" w:space="0" w:color="CCD6DE"/>
              <w:bottom w:val="single" w:sz="4" w:space="0" w:color="CCD6DE"/>
              <w:right w:val="single" w:sz="4" w:space="0" w:color="CCD6DE"/>
            </w:tcBorders>
          </w:tcPr>
          <w:p>
            <w:r>
              <w:rPr>
                <w:b w:val="0"/>
                <w:i w:val="0"/>
                <w:sz w:val="21"/>
              </w:rPr>
              <w:t>Mục hay bị bỏ trống nhất. Ghi thật, kèm mốc ngày cụ thể</w:t>
            </w:r>
          </w:p>
        </w:tc>
      </w:tr>
    </w:tbl>
    <w:p>
      <w:pPr>
        <w:spacing w:after="40"/>
      </w:pPr>
    </w:p>
    <w:p>
      <w:pPr>
        <w:spacing w:after="160"/>
      </w:pPr>
      <w:r>
        <w:rPr>
          <w:b w:val="0"/>
          <w:i w:val="0"/>
          <w:sz w:val="22"/>
        </w:rPr>
        <w:t xml:space="preserve">Ngoài 5 nội dung trên, báo cáo còn có mục ghi </w:t>
      </w:r>
      <w:r>
        <w:rPr>
          <w:b w:val="0"/>
          <w:i/>
          <w:sz w:val="22"/>
        </w:rPr>
        <w:t>kết quả thực hiện kiến nghị của cơ quan có thẩm quyền</w:t>
      </w:r>
      <w:r>
        <w:rPr>
          <w:b w:val="0"/>
          <w:i w:val="0"/>
          <w:sz w:val="22"/>
        </w:rPr>
        <w:t xml:space="preserve"> và mục </w:t>
      </w:r>
      <w:r>
        <w:rPr>
          <w:b w:val="0"/>
          <w:i/>
          <w:sz w:val="22"/>
        </w:rPr>
        <w:t>đề xuất với cơ quan quản lý</w:t>
      </w:r>
      <w:r>
        <w:rPr>
          <w:b w:val="0"/>
          <w:i w:val="0"/>
          <w:sz w:val="22"/>
        </w:rPr>
        <w:t xml:space="preserve">. </w:t>
      </w:r>
      <w:r>
        <w:rPr>
          <w:b/>
          <w:i w:val="0"/>
          <w:sz w:val="22"/>
        </w:rPr>
        <w:t>Kết quả thực tập phương án chữa cháy cũng thể hiện trong chính báo cáo PC04 này</w:t>
      </w:r>
      <w:r>
        <w:rPr>
          <w:b w:val="0"/>
          <w:i w:val="0"/>
          <w:sz w:val="22"/>
        </w:rPr>
        <w:t>, không cần làm báo cáo riêng.</w:t>
      </w:r>
    </w:p>
    <w:tbl>
      <w:tblPr>
        <w:tblW w:type="auto" w:w="0"/>
        <w:tblLook w:firstColumn="1" w:firstRow="1" w:lastColumn="0" w:lastRow="0" w:noHBand="0" w:noVBand="1" w:val="04A0"/>
      </w:tblPr>
      <w:tblGrid>
        <w:gridCol w:w="8640"/>
      </w:tblGrid>
      <w:tr>
        <w:tc>
          <w:tcPr>
            <w:tcW w:type="dxa" w:w="8640"/>
            <w:shd w:val="clear" w:color="auto" w:fill="FFF8EF"/>
            <w:tcBorders>
              <w:top w:val="single" w:sz="4" w:space="0" w:color="FFE0B2"/>
              <w:right w:val="single" w:sz="4" w:space="0" w:color="FFE0B2"/>
              <w:bottom w:val="single" w:sz="4" w:space="0" w:color="FFE0B2"/>
              <w:left w:val="single" w:sz="24" w:space="0" w:color="F57C00"/>
            </w:tcBorders>
          </w:tcPr>
          <w:p>
            <w:r>
              <w:rPr>
                <w:b/>
                <w:i w:val="0"/>
                <w:sz w:val="22"/>
              </w:rPr>
              <w:t>Gửi rồi thì phải giữ được bằng chứng đã gửi.</w:t>
            </w:r>
            <w:r>
              <w:rPr>
                <w:b w:val="0"/>
                <w:i w:val="0"/>
                <w:sz w:val="22"/>
              </w:rPr>
              <w:t xml:space="preserve"> Nộp trực tiếp thì xin dấu công văn đến vào bản lưu; gửi bưu điện thì giữ biên nhận; cập nhật lên hệ thống thì chụp màn hình xác nhận, in ra kẹp vào hồ sơ. Chi tiết nhỏ nhưng quyết định: </w:t>
            </w:r>
            <w:r>
              <w:rPr>
                <w:b/>
                <w:i w:val="0"/>
                <w:sz w:val="22"/>
              </w:rPr>
              <w:t>gửi muộn</w:t>
            </w:r>
            <w:r>
              <w:rPr>
                <w:b w:val="0"/>
                <w:i w:val="0"/>
                <w:sz w:val="22"/>
              </w:rPr>
              <w:t xml:space="preserve"> phạt 3–5 triệu, </w:t>
            </w:r>
            <w:r>
              <w:rPr>
                <w:b/>
                <w:i w:val="0"/>
                <w:sz w:val="22"/>
              </w:rPr>
              <w:t>không gửi</w:t>
            </w:r>
            <w:r>
              <w:rPr>
                <w:b w:val="0"/>
                <w:i w:val="0"/>
                <w:sz w:val="22"/>
              </w:rPr>
              <w:t xml:space="preserve"> phạt 5–10 triệu — không có bằng chứng thì rất khó chứng minh mình đã gửi.</w:t>
            </w:r>
          </w:p>
        </w:tc>
      </w:tr>
    </w:tbl>
    <w:p>
      <w:pPr>
        <w:spacing w:after="40"/>
      </w:pPr>
    </w:p>
    <w:p>
      <w:pPr>
        <w:spacing w:after="120"/>
      </w:pPr>
    </w:p>
    <w:p>
      <w:pPr>
        <w:pStyle w:val="Heading1"/>
      </w:pPr>
      <w:r>
        <w:t>3. Mẫu PC06 — Phương án chữa cháy, cứu nạn, cứu hộ của cơ sở</w:t>
      </w:r>
    </w:p>
    <w:tbl>
      <w:tblPr>
        <w:tblW w:type="auto" w:w="0"/>
        <w:jc w:val="center"/>
        <w:tblLayout w:type="autofit"/>
        <w:tblLook w:firstColumn="1" w:firstRow="1" w:lastColumn="0" w:lastRow="0" w:noHBand="0" w:noVBand="1" w:val="04A0"/>
      </w:tblPr>
      <w:tblGrid>
        <w:gridCol w:w="4320"/>
        <w:gridCol w:w="4320"/>
      </w:tblGrid>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Dùng khi nào</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Lập một lần khi cơ sở đi vào hoạt động, sau đó cập nhật mỗi khi có thay đổi</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Ai ký</w:t>
            </w:r>
          </w:p>
        </w:tc>
        <w:tc>
          <w:tcPr>
            <w:tcW w:type="dxa" w:w="4320"/>
            <w:tcBorders>
              <w:top w:val="single" w:sz="4" w:space="0" w:color="CCD6DE"/>
              <w:left w:val="single" w:sz="4" w:space="0" w:color="CCD6DE"/>
              <w:bottom w:val="single" w:sz="4" w:space="0" w:color="CCD6DE"/>
              <w:right w:val="single" w:sz="4" w:space="0" w:color="CCD6DE"/>
            </w:tcBorders>
          </w:tcPr>
          <w:p>
            <w:r>
              <w:rPr>
                <w:b/>
                <w:i w:val="0"/>
                <w:sz w:val="22"/>
              </w:rPr>
              <w:t>Người đứng đầu cơ sở tổ chức xây dựng và tự phê duyệt.</w:t>
            </w:r>
            <w:r>
              <w:rPr>
                <w:b w:val="0"/>
                <w:i w:val="0"/>
                <w:sz w:val="22"/>
              </w:rPr>
              <w:t xml:space="preserve"> Không phải mang đi xin ai duyệt — điểm nhiều chủ cơ sở chưa biết và tưởng mình đang thiếu thủ tục</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Nộp cho ai</w:t>
            </w:r>
          </w:p>
        </w:tc>
        <w:tc>
          <w:tcPr>
            <w:tcW w:type="dxa" w:w="4320"/>
            <w:tcBorders>
              <w:top w:val="single" w:sz="4" w:space="0" w:color="CCD6DE"/>
              <w:left w:val="single" w:sz="4" w:space="0" w:color="CCD6DE"/>
              <w:bottom w:val="single" w:sz="4" w:space="0" w:color="CCD6DE"/>
              <w:right w:val="single" w:sz="4" w:space="0" w:color="CCD6DE"/>
            </w:tcBorders>
          </w:tcPr>
          <w:p>
            <w:r>
              <w:rPr>
                <w:b w:val="0"/>
                <w:i w:val="0"/>
                <w:sz w:val="22"/>
              </w:rPr>
              <w:t>Lưu tại cơ sở. Xuất trình khi được kiểm tra</w:t>
            </w:r>
          </w:p>
        </w:tc>
      </w:tr>
      <w:tr>
        <w:tc>
          <w:tcPr>
            <w:tcW w:type="dxa" w:w="2154"/>
            <w:shd w:val="clear" w:color="auto" w:fill="F7F9FB"/>
            <w:tcBorders>
              <w:top w:val="single" w:sz="4" w:space="0" w:color="CCD6DE"/>
              <w:left w:val="single" w:sz="4" w:space="0" w:color="CCD6DE"/>
              <w:bottom w:val="single" w:sz="4" w:space="0" w:color="CCD6DE"/>
              <w:right w:val="single" w:sz="4" w:space="0" w:color="CCD6DE"/>
            </w:tcBorders>
          </w:tcPr>
          <w:p>
            <w:r>
              <w:rPr>
                <w:b/>
                <w:sz w:val="22"/>
              </w:rPr>
              <w:t>Thực tập</w:t>
            </w:r>
          </w:p>
        </w:tc>
        <w:tc>
          <w:tcPr>
            <w:tcW w:type="dxa" w:w="4320"/>
            <w:tcBorders>
              <w:top w:val="single" w:sz="4" w:space="0" w:color="CCD6DE"/>
              <w:left w:val="single" w:sz="4" w:space="0" w:color="CCD6DE"/>
              <w:bottom w:val="single" w:sz="4" w:space="0" w:color="CCD6DE"/>
              <w:right w:val="single" w:sz="4" w:space="0" w:color="CCD6DE"/>
            </w:tcBorders>
          </w:tcPr>
          <w:p>
            <w:r>
              <w:rPr>
                <w:b/>
                <w:i w:val="0"/>
                <w:sz w:val="22"/>
              </w:rPr>
              <w:t>Ít nhất một lần mỗi năm.</w:t>
            </w:r>
            <w:r>
              <w:rPr>
                <w:b w:val="0"/>
                <w:i w:val="0"/>
                <w:sz w:val="22"/>
              </w:rPr>
              <w:t xml:space="preserve"> Một lần có thể diễn nhiều tình huống, nhưng mọi tình huống đã giả định phải lần lượt được thực tập</w:t>
            </w:r>
          </w:p>
        </w:tc>
      </w:tr>
    </w:tbl>
    <w:p>
      <w:pPr>
        <w:spacing w:after="40"/>
      </w:pPr>
    </w:p>
    <w:p>
      <w:pPr>
        <w:spacing w:after="80"/>
      </w:pPr>
      <w:r>
        <w:rPr>
          <w:b/>
          <w:i w:val="0"/>
          <w:sz w:val="22"/>
        </w:rPr>
        <w:t>Phương án phải có đủ 5 phần:</w:t>
      </w:r>
    </w:p>
    <w:p>
      <w:pPr>
        <w:pStyle w:val="ListNumber"/>
        <w:spacing w:after="80"/>
      </w:pPr>
      <w:r>
        <w:rPr>
          <w:b w:val="0"/>
          <w:i w:val="0"/>
        </w:rPr>
        <w:t>Thông tin cơ sở. Thống kê lực lượng, phương tiện, hệ thống PCCC tại chỗ và nguồn nước chữa cháy.</w:t>
      </w:r>
    </w:p>
    <w:p>
      <w:pPr>
        <w:pStyle w:val="ListNumber"/>
        <w:spacing w:after="80"/>
      </w:pPr>
      <w:r>
        <w:rPr>
          <w:b w:val="0"/>
          <w:i w:val="0"/>
        </w:rPr>
        <w:t xml:space="preserve">Tính chất, đặc điểm nguy hiểm về cháy, nổ, độc, tai nạn, sự cố. Phần này kèm </w:t>
      </w:r>
      <w:r>
        <w:rPr>
          <w:b/>
          <w:i w:val="0"/>
        </w:rPr>
        <w:t>sơ đồ</w:t>
      </w:r>
      <w:r>
        <w:rPr>
          <w:b w:val="0"/>
          <w:i w:val="0"/>
        </w:rPr>
        <w:t>: lối thoát nạn, vị trí trụ nước, bể nước, chỗ xe chữa cháy lấy nước, vị trí phương tiện chữa cháy.</w:t>
      </w:r>
    </w:p>
    <w:p>
      <w:pPr>
        <w:pStyle w:val="ListNumber"/>
        <w:spacing w:after="80"/>
      </w:pPr>
      <w:r>
        <w:rPr>
          <w:b w:val="0"/>
          <w:i w:val="0"/>
        </w:rPr>
        <w:t>Số điện thoại các cơ quan cần báo.</w:t>
      </w:r>
    </w:p>
    <w:p>
      <w:pPr>
        <w:pStyle w:val="ListNumber"/>
        <w:spacing w:after="80"/>
      </w:pPr>
      <w:r>
        <w:rPr>
          <w:b/>
          <w:i w:val="0"/>
        </w:rPr>
        <w:t>Tình huống cháy giả định</w:t>
      </w:r>
      <w:r>
        <w:rPr>
          <w:b w:val="0"/>
          <w:i w:val="0"/>
        </w:rPr>
        <w:t xml:space="preserve"> trong và ngoài giờ làm việc. Mỗi tình huống ghi rõ dự kiến dùng lực lượng, phương tiện tại chỗ ra sao và tổ chức thoát nạn thế nào.</w:t>
      </w:r>
    </w:p>
    <w:p>
      <w:pPr>
        <w:pStyle w:val="ListNumber"/>
        <w:spacing w:after="80"/>
      </w:pPr>
      <w:r>
        <w:rPr>
          <w:b w:val="0"/>
          <w:i w:val="0"/>
        </w:rPr>
        <w:t>Lưu ý an toàn khi chữa cháy với chất, hàng hóa nguy hiểm có trong cơ sở.</w:t>
      </w:r>
    </w:p>
    <w:p>
      <w:pPr>
        <w:spacing w:after="80"/>
      </w:pPr>
    </w:p>
    <w:p>
      <w:pPr>
        <w:spacing w:after="160"/>
      </w:pPr>
      <w:r>
        <w:rPr>
          <w:b/>
          <w:i w:val="0"/>
          <w:sz w:val="22"/>
        </w:rPr>
        <w:t>Đừng chọn tình huống giả định dễ.</w:t>
      </w:r>
      <w:r>
        <w:rPr>
          <w:b w:val="0"/>
          <w:i w:val="0"/>
          <w:sz w:val="22"/>
        </w:rPr>
        <w:t xml:space="preserve"> Chọn chỗ xấu nhất của cơ sở — kho hàng chất cao, phòng máy, khu bếp, chỗ sạc xe điện, tầng hầm để xe — và đặt vào lúc khó nhất, 2 giờ sáng chỉ có một bảo vệ trực. Viết vậy thì buổi thực tập mới phát hiện được chìa khóa cửa thoát nạn để đâu, ai gọi 114, ai cắt điện.</w:t>
      </w:r>
    </w:p>
    <w:p>
      <w:pPr>
        <w:spacing w:after="160"/>
      </w:pPr>
      <w:r>
        <w:rPr>
          <w:b/>
          <w:i w:val="0"/>
          <w:sz w:val="22"/>
        </w:rPr>
        <w:t>Khi nào phải cập nhật phương án:</w:t>
      </w:r>
      <w:r>
        <w:rPr>
          <w:b w:val="0"/>
          <w:i w:val="0"/>
          <w:sz w:val="22"/>
        </w:rPr>
        <w:t xml:space="preserve"> mỗi khi thay đổi một trong các nội dung trên — sửa mặt bằng, ngăn thêm phòng, đổi công năng khu vực, thay đội ngũ, lắp thêm hoặc tháo bớt hệ thống, đổi nguồn nước. Không cập nhật phạt 3–5 triệu.</w:t>
      </w:r>
    </w:p>
    <w:p>
      <w:pPr>
        <w:spacing w:before="160"/>
      </w:pPr>
      <w:r>
        <w:rPr>
          <w:b w:val="0"/>
          <w:i/>
          <w:color w:val="6B7280"/>
          <w:sz w:val="19"/>
        </w:rPr>
        <w:t>Căn cứ: Mẫu số PC02, PC04, PC06 kèm theo Nghị định 105/2025/NĐ-CP; Điều 14, Điều 15 và Điều 16 Nghị định 105/2025/NĐ-CP; Điều 7 Thông tư 36/2025/TT-BCA.</w:t>
      </w:r>
    </w:p>
    <w:p>
      <w:pPr>
        <w:spacing w:before="120"/>
      </w:pPr>
      <w:r>
        <w:rPr>
          <w:b w:val="0"/>
          <w:i w:val="0"/>
        </w:rPr>
        <w:t xml:space="preserve">Khi cơ sở cần lấy ý kiến cơ quan Công an về một nội dung PCCC cụ thể, dùng mẫu công văn đề nghị tham gia ý kiến về PCCC </w:t>
      </w:r>
      <w:r>
        <w:rPr>
          <w:b w:val="0"/>
          <w:i w:val="0"/>
          <w:color w:val="2563EB"/>
        </w:rPr>
        <w:t>(https://pccc.vn/cong-van-ve-viec-de-nghi-tham-gia-y-kien-ve-pccc-mau/)</w:t>
      </w:r>
      <w:r>
        <w:rPr>
          <w:b w:val="0"/>
          <w:i w:val="0"/>
        </w:rPr>
        <w:t xml:space="preserve"> rồi lưu bản gửi vào cặp hồ sơ.</w:t>
      </w:r>
    </w:p>
    <w:p/>
    <w:p>
      <w:pPr>
        <w:jc w:val="center"/>
      </w:pPr>
      <w:r>
        <w:rPr>
          <w:i/>
          <w:color w:val="999999"/>
          <w:sz w:val="18"/>
        </w:rPr>
        <w:t>Nguồn: pccc.vn — bài viết "Hồ sơ PCCC của cơ sở gồm những gì: danh mục đầy đủ và cách sắp cho đúng"</w:t>
        <w:br/>
      </w:r>
      <w:r>
        <w:rPr>
          <w:i/>
          <w:color w:val="999999"/>
          <w:sz w:val="18"/>
        </w:rPr>
        <w:t>https://pccc.vn/ho-so-quan-ly-pccc-tai-co-so/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